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7A" w:rsidRPr="00894E8F" w:rsidRDefault="00A3757A">
      <w:pPr>
        <w:rPr>
          <w:b/>
          <w:sz w:val="32"/>
          <w:szCs w:val="32"/>
        </w:rPr>
      </w:pPr>
      <w:r w:rsidRPr="00894E8F">
        <w:rPr>
          <w:b/>
          <w:sz w:val="32"/>
          <w:szCs w:val="32"/>
        </w:rPr>
        <w:t xml:space="preserve">Legislation for plants produced by certain new genomic techniques </w:t>
      </w:r>
    </w:p>
    <w:p w:rsidR="00A3757A" w:rsidRPr="00894E8F" w:rsidRDefault="00A3757A" w:rsidP="00A3757A">
      <w:pPr>
        <w:pStyle w:val="Heading1"/>
        <w:rPr>
          <w:color w:val="auto"/>
        </w:rPr>
      </w:pPr>
      <w:r w:rsidRPr="00894E8F">
        <w:rPr>
          <w:color w:val="auto"/>
        </w:rPr>
        <w:t>(1) Policy scenarios for 2030-2035</w:t>
      </w:r>
    </w:p>
    <w:p w:rsidR="00A3757A" w:rsidRPr="00894E8F" w:rsidRDefault="00A3757A" w:rsidP="00A3757A">
      <w:pPr>
        <w:rPr>
          <w:sz w:val="8"/>
          <w:szCs w:val="8"/>
        </w:rPr>
      </w:pPr>
    </w:p>
    <w:p w:rsidR="009D285C" w:rsidRPr="00894E8F" w:rsidRDefault="009D285C">
      <w:pPr>
        <w:rPr>
          <w:b/>
        </w:rPr>
      </w:pPr>
      <w:r w:rsidRPr="00894E8F">
        <w:rPr>
          <w:b/>
        </w:rPr>
        <w:t>Risk assessment and detection</w:t>
      </w:r>
      <w:r w:rsidR="00A3757A" w:rsidRPr="00894E8F">
        <w:rPr>
          <w:b/>
        </w:rPr>
        <w:t xml:space="preserve"> </w:t>
      </w:r>
      <w:r w:rsidR="00A3757A" w:rsidRPr="00894E8F">
        <w:t>- page 8 of the pdf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9D285C" w:rsidRPr="00894E8F" w:rsidTr="009D285C">
        <w:tc>
          <w:tcPr>
            <w:tcW w:w="2972" w:type="dxa"/>
          </w:tcPr>
          <w:p w:rsidR="009D285C" w:rsidRPr="00894E8F" w:rsidRDefault="009D285C">
            <w:pPr>
              <w:rPr>
                <w:b/>
              </w:rPr>
            </w:pPr>
            <w:r w:rsidRPr="00894E8F">
              <w:rPr>
                <w:b/>
              </w:rPr>
              <w:t>Scenario</w:t>
            </w:r>
          </w:p>
        </w:tc>
        <w:tc>
          <w:tcPr>
            <w:tcW w:w="2977" w:type="dxa"/>
          </w:tcPr>
          <w:p w:rsidR="009D285C" w:rsidRPr="00894E8F" w:rsidRDefault="009D285C">
            <w:pPr>
              <w:rPr>
                <w:b/>
              </w:rPr>
            </w:pPr>
            <w:r w:rsidRPr="00894E8F">
              <w:rPr>
                <w:b/>
              </w:rPr>
              <w:t xml:space="preserve">Risk assessment </w:t>
            </w:r>
          </w:p>
        </w:tc>
        <w:tc>
          <w:tcPr>
            <w:tcW w:w="3067" w:type="dxa"/>
          </w:tcPr>
          <w:p w:rsidR="009D285C" w:rsidRPr="00894E8F" w:rsidRDefault="009D285C">
            <w:pPr>
              <w:rPr>
                <w:b/>
              </w:rPr>
            </w:pPr>
            <w:r w:rsidRPr="00894E8F">
              <w:rPr>
                <w:b/>
              </w:rPr>
              <w:t>Detection</w:t>
            </w:r>
          </w:p>
        </w:tc>
      </w:tr>
      <w:tr w:rsidR="009D285C" w:rsidRPr="00894E8F" w:rsidTr="009D285C">
        <w:tc>
          <w:tcPr>
            <w:tcW w:w="2972" w:type="dxa"/>
          </w:tcPr>
          <w:p w:rsidR="009D285C" w:rsidRPr="00894E8F" w:rsidRDefault="009D285C" w:rsidP="009D285C">
            <w:pPr>
              <w:rPr>
                <w:lang w:val="it-IT"/>
              </w:rPr>
            </w:pPr>
            <w:r w:rsidRPr="00894E8F">
              <w:rPr>
                <w:lang w:val="it-IT"/>
              </w:rPr>
              <w:t xml:space="preserve">0 No policy </w:t>
            </w:r>
            <w:proofErr w:type="spellStart"/>
            <w:r w:rsidRPr="00894E8F">
              <w:rPr>
                <w:lang w:val="it-IT"/>
              </w:rPr>
              <w:t>change</w:t>
            </w:r>
            <w:proofErr w:type="spellEnd"/>
            <w:r w:rsidRPr="00894E8F">
              <w:rPr>
                <w:lang w:val="it-IT"/>
              </w:rPr>
              <w:t xml:space="preserve"> </w:t>
            </w:r>
          </w:p>
          <w:p w:rsidR="009D285C" w:rsidRPr="00894E8F" w:rsidRDefault="009D285C">
            <w:pPr>
              <w:rPr>
                <w:b/>
              </w:rPr>
            </w:pPr>
          </w:p>
        </w:tc>
        <w:tc>
          <w:tcPr>
            <w:tcW w:w="2977" w:type="dxa"/>
          </w:tcPr>
          <w:p w:rsidR="009D285C" w:rsidRPr="00894E8F" w:rsidRDefault="009D285C" w:rsidP="009D285C">
            <w:r w:rsidRPr="00894E8F">
              <w:t>As today, full risk assessment</w:t>
            </w:r>
          </w:p>
        </w:tc>
        <w:tc>
          <w:tcPr>
            <w:tcW w:w="3067" w:type="dxa"/>
          </w:tcPr>
          <w:p w:rsidR="009D285C" w:rsidRPr="00894E8F" w:rsidRDefault="009D285C">
            <w:r w:rsidRPr="00894E8F">
              <w:t>As today, detection method required with differentiation</w:t>
            </w:r>
            <w:r w:rsidR="00A3757A" w:rsidRPr="00894E8F">
              <w:t>*</w:t>
            </w:r>
          </w:p>
        </w:tc>
      </w:tr>
      <w:tr w:rsidR="009D285C" w:rsidRPr="00894E8F" w:rsidTr="009D285C">
        <w:tc>
          <w:tcPr>
            <w:tcW w:w="2972" w:type="dxa"/>
          </w:tcPr>
          <w:p w:rsidR="009D285C" w:rsidRPr="00894E8F" w:rsidRDefault="009D285C">
            <w:r w:rsidRPr="00894E8F">
              <w:t>A1 Authorisation with proportionate risk assessment and detection method</w:t>
            </w:r>
          </w:p>
          <w:p w:rsidR="009D285C" w:rsidRPr="00894E8F" w:rsidRDefault="009D285C">
            <w:pPr>
              <w:rPr>
                <w:b/>
              </w:rPr>
            </w:pPr>
          </w:p>
        </w:tc>
        <w:tc>
          <w:tcPr>
            <w:tcW w:w="2977" w:type="dxa"/>
          </w:tcPr>
          <w:p w:rsidR="009D285C" w:rsidRPr="00894E8F" w:rsidRDefault="009D285C">
            <w:r w:rsidRPr="00894E8F">
              <w:t>Proportionate to risk profile</w:t>
            </w:r>
          </w:p>
        </w:tc>
        <w:tc>
          <w:tcPr>
            <w:tcW w:w="3067" w:type="dxa"/>
          </w:tcPr>
          <w:p w:rsidR="009D285C" w:rsidRPr="00894E8F" w:rsidRDefault="009D285C">
            <w:r w:rsidRPr="00894E8F">
              <w:t>Detection method required but differentiation from conventional product not required</w:t>
            </w:r>
          </w:p>
        </w:tc>
      </w:tr>
      <w:tr w:rsidR="009D285C" w:rsidRPr="00894E8F" w:rsidTr="00A41B56">
        <w:tc>
          <w:tcPr>
            <w:tcW w:w="2972" w:type="dxa"/>
            <w:shd w:val="clear" w:color="auto" w:fill="auto"/>
          </w:tcPr>
          <w:p w:rsidR="009D285C" w:rsidRPr="00894E8F" w:rsidRDefault="009D285C">
            <w:r w:rsidRPr="00894E8F">
              <w:t>A2 Pre-notification of products that could also be obtained naturally or by conventional breeding</w:t>
            </w:r>
          </w:p>
        </w:tc>
        <w:tc>
          <w:tcPr>
            <w:tcW w:w="2977" w:type="dxa"/>
            <w:shd w:val="clear" w:color="auto" w:fill="auto"/>
          </w:tcPr>
          <w:p w:rsidR="009D285C" w:rsidRPr="00894E8F" w:rsidRDefault="009D285C">
            <w:r w:rsidRPr="00894E8F">
              <w:t>Not needed for products that could also be obtained naturally or by conventional breeding</w:t>
            </w:r>
          </w:p>
        </w:tc>
        <w:tc>
          <w:tcPr>
            <w:tcW w:w="3067" w:type="dxa"/>
            <w:shd w:val="clear" w:color="auto" w:fill="auto"/>
          </w:tcPr>
          <w:p w:rsidR="009D285C" w:rsidRPr="00894E8F" w:rsidRDefault="009D285C">
            <w:pPr>
              <w:rPr>
                <w:b/>
              </w:rPr>
            </w:pPr>
            <w:r w:rsidRPr="00894E8F">
              <w:t>Not needed for products that could also be obtained naturally or by conventional breeding</w:t>
            </w:r>
          </w:p>
        </w:tc>
      </w:tr>
    </w:tbl>
    <w:p w:rsidR="00863596" w:rsidRPr="00894E8F" w:rsidRDefault="00863596" w:rsidP="00863596">
      <w:pPr>
        <w:rPr>
          <w:rFonts w:ascii="Calibri" w:hAnsi="Calibri" w:cs="Calibri"/>
          <w:b/>
          <w:bCs/>
          <w:i/>
        </w:rPr>
      </w:pPr>
      <w:r w:rsidRPr="00894E8F">
        <w:rPr>
          <w:rFonts w:ascii="Calibri" w:hAnsi="Calibri" w:cs="Calibri"/>
          <w:b/>
          <w:bCs/>
        </w:rPr>
        <w:t>*</w:t>
      </w:r>
      <w:r w:rsidRPr="00894E8F">
        <w:rPr>
          <w:rFonts w:ascii="Calibri" w:hAnsi="Calibri" w:cs="Calibri"/>
          <w:i/>
        </w:rPr>
        <w:t>Note that this is NOT a requirement today, the Commission have made it up.</w:t>
      </w:r>
      <w:r w:rsidRPr="00894E8F">
        <w:rPr>
          <w:rFonts w:ascii="Calibri" w:hAnsi="Calibri" w:cs="Calibri"/>
          <w:b/>
          <w:bCs/>
          <w:i/>
        </w:rPr>
        <w:t xml:space="preserve"> </w:t>
      </w:r>
    </w:p>
    <w:p w:rsidR="009161DE" w:rsidRPr="00894E8F" w:rsidRDefault="009161DE">
      <w:pPr>
        <w:rPr>
          <w:b/>
          <w:noProof/>
          <w:lang w:eastAsia="en-GB"/>
        </w:rPr>
      </w:pPr>
      <w:r w:rsidRPr="00894E8F">
        <w:rPr>
          <w:b/>
          <w:noProof/>
          <w:lang w:eastAsia="en-GB"/>
        </w:rPr>
        <w:t>Labelling and traceability</w:t>
      </w:r>
      <w:r w:rsidR="00A3757A" w:rsidRPr="00894E8F">
        <w:rPr>
          <w:b/>
          <w:noProof/>
          <w:lang w:eastAsia="en-GB"/>
        </w:rPr>
        <w:t xml:space="preserve"> </w:t>
      </w:r>
      <w:r w:rsidR="00A3757A" w:rsidRPr="00894E8F">
        <w:t>- page 24 of the pdf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D285C" w:rsidRPr="00894E8F" w:rsidTr="00600932">
        <w:tc>
          <w:tcPr>
            <w:tcW w:w="3005" w:type="dxa"/>
          </w:tcPr>
          <w:p w:rsidR="009D285C" w:rsidRPr="00894E8F" w:rsidRDefault="009D285C">
            <w:pPr>
              <w:rPr>
                <w:b/>
                <w:lang w:val="de-DE"/>
              </w:rPr>
            </w:pPr>
            <w:r w:rsidRPr="00894E8F">
              <w:rPr>
                <w:b/>
                <w:lang w:val="de-DE"/>
              </w:rPr>
              <w:t>Scenario</w:t>
            </w:r>
          </w:p>
        </w:tc>
        <w:tc>
          <w:tcPr>
            <w:tcW w:w="3005" w:type="dxa"/>
          </w:tcPr>
          <w:p w:rsidR="009D285C" w:rsidRPr="00894E8F" w:rsidRDefault="009D285C">
            <w:pPr>
              <w:rPr>
                <w:b/>
                <w:lang w:val="de-DE"/>
              </w:rPr>
            </w:pPr>
            <w:proofErr w:type="spellStart"/>
            <w:r w:rsidRPr="00894E8F">
              <w:rPr>
                <w:b/>
                <w:lang w:val="de-DE"/>
              </w:rPr>
              <w:t>Labelling</w:t>
            </w:r>
            <w:proofErr w:type="spellEnd"/>
            <w:r w:rsidRPr="00894E8F">
              <w:rPr>
                <w:b/>
                <w:lang w:val="de-DE"/>
              </w:rPr>
              <w:t xml:space="preserve"> </w:t>
            </w:r>
          </w:p>
        </w:tc>
        <w:tc>
          <w:tcPr>
            <w:tcW w:w="3005" w:type="dxa"/>
          </w:tcPr>
          <w:p w:rsidR="009D285C" w:rsidRPr="00894E8F" w:rsidRDefault="009D285C">
            <w:pPr>
              <w:rPr>
                <w:b/>
                <w:lang w:val="de-DE"/>
              </w:rPr>
            </w:pPr>
            <w:proofErr w:type="spellStart"/>
            <w:r w:rsidRPr="00894E8F">
              <w:rPr>
                <w:b/>
                <w:lang w:val="de-DE"/>
              </w:rPr>
              <w:t>Traceability</w:t>
            </w:r>
            <w:proofErr w:type="spellEnd"/>
          </w:p>
        </w:tc>
      </w:tr>
      <w:tr w:rsidR="009D285C" w:rsidRPr="00894E8F" w:rsidTr="00600932">
        <w:tc>
          <w:tcPr>
            <w:tcW w:w="3005" w:type="dxa"/>
          </w:tcPr>
          <w:p w:rsidR="009D285C" w:rsidRPr="00894E8F" w:rsidRDefault="009D285C" w:rsidP="009D285C">
            <w:pPr>
              <w:rPr>
                <w:lang w:val="it-IT"/>
              </w:rPr>
            </w:pPr>
            <w:r w:rsidRPr="00894E8F">
              <w:rPr>
                <w:lang w:val="it-IT"/>
              </w:rPr>
              <w:t xml:space="preserve">0 No policy </w:t>
            </w:r>
            <w:proofErr w:type="spellStart"/>
            <w:r w:rsidRPr="00894E8F">
              <w:rPr>
                <w:lang w:val="it-IT"/>
              </w:rPr>
              <w:t>change</w:t>
            </w:r>
            <w:proofErr w:type="spellEnd"/>
            <w:r w:rsidRPr="00894E8F">
              <w:rPr>
                <w:lang w:val="it-IT"/>
              </w:rPr>
              <w:t xml:space="preserve"> </w:t>
            </w:r>
          </w:p>
          <w:p w:rsidR="009D285C" w:rsidRPr="00894E8F" w:rsidRDefault="009D285C">
            <w:pPr>
              <w:rPr>
                <w:lang w:val="de-DE"/>
              </w:rPr>
            </w:pPr>
          </w:p>
        </w:tc>
        <w:tc>
          <w:tcPr>
            <w:tcW w:w="3005" w:type="dxa"/>
          </w:tcPr>
          <w:p w:rsidR="009D285C" w:rsidRPr="00894E8F" w:rsidRDefault="009161DE">
            <w:r w:rsidRPr="00894E8F">
              <w:t>A</w:t>
            </w:r>
            <w:r w:rsidR="009D285C" w:rsidRPr="00894E8F">
              <w:t>s today, labelling of GMO content required</w:t>
            </w:r>
          </w:p>
        </w:tc>
        <w:tc>
          <w:tcPr>
            <w:tcW w:w="3005" w:type="dxa"/>
          </w:tcPr>
          <w:p w:rsidR="009D285C" w:rsidRPr="00894E8F" w:rsidRDefault="009161DE">
            <w:r w:rsidRPr="00894E8F">
              <w:t xml:space="preserve">As today, traceability always required </w:t>
            </w:r>
          </w:p>
        </w:tc>
      </w:tr>
      <w:tr w:rsidR="009D285C" w:rsidRPr="00894E8F" w:rsidTr="00600932">
        <w:tc>
          <w:tcPr>
            <w:tcW w:w="3005" w:type="dxa"/>
          </w:tcPr>
          <w:p w:rsidR="009D285C" w:rsidRPr="00894E8F" w:rsidRDefault="009D285C" w:rsidP="009161DE">
            <w:pPr>
              <w:rPr>
                <w:lang w:val="de-DE"/>
              </w:rPr>
            </w:pPr>
            <w:r w:rsidRPr="00894E8F">
              <w:rPr>
                <w:lang w:val="de-DE"/>
              </w:rPr>
              <w:t xml:space="preserve">B1 </w:t>
            </w:r>
            <w:r w:rsidR="009161DE" w:rsidRPr="00894E8F">
              <w:rPr>
                <w:lang w:val="de-DE"/>
              </w:rPr>
              <w:t xml:space="preserve">Additional </w:t>
            </w:r>
            <w:proofErr w:type="spellStart"/>
            <w:r w:rsidR="009161DE" w:rsidRPr="00894E8F">
              <w:rPr>
                <w:lang w:val="de-DE"/>
              </w:rPr>
              <w:t>s</w:t>
            </w:r>
            <w:r w:rsidRPr="00894E8F">
              <w:rPr>
                <w:lang w:val="de-DE"/>
              </w:rPr>
              <w:t>ustainability</w:t>
            </w:r>
            <w:proofErr w:type="spellEnd"/>
            <w:r w:rsidRPr="00894E8F">
              <w:rPr>
                <w:lang w:val="de-DE"/>
              </w:rPr>
              <w:t xml:space="preserve"> </w:t>
            </w:r>
            <w:proofErr w:type="spellStart"/>
            <w:r w:rsidRPr="00894E8F">
              <w:rPr>
                <w:lang w:val="de-DE"/>
              </w:rPr>
              <w:t>label</w:t>
            </w:r>
            <w:proofErr w:type="spellEnd"/>
          </w:p>
        </w:tc>
        <w:tc>
          <w:tcPr>
            <w:tcW w:w="3005" w:type="dxa"/>
          </w:tcPr>
          <w:p w:rsidR="009D285C" w:rsidRPr="00894E8F" w:rsidRDefault="009161DE" w:rsidP="009161DE">
            <w:r w:rsidRPr="00894E8F">
              <w:t>A</w:t>
            </w:r>
            <w:r w:rsidR="009D285C" w:rsidRPr="00894E8F">
              <w:t>s today, with additional label indicating the sustainability contribution of the introduced trait</w:t>
            </w:r>
          </w:p>
        </w:tc>
        <w:tc>
          <w:tcPr>
            <w:tcW w:w="3005" w:type="dxa"/>
          </w:tcPr>
          <w:p w:rsidR="009D285C" w:rsidRPr="00894E8F" w:rsidRDefault="009161DE" w:rsidP="009D285C">
            <w:r w:rsidRPr="00894E8F">
              <w:t>As today, but with additional traceability for sustainability claims</w:t>
            </w:r>
          </w:p>
        </w:tc>
      </w:tr>
      <w:tr w:rsidR="009D285C" w:rsidRPr="00894E8F" w:rsidTr="00A41B56">
        <w:tc>
          <w:tcPr>
            <w:tcW w:w="3005" w:type="dxa"/>
            <w:shd w:val="clear" w:color="auto" w:fill="auto"/>
          </w:tcPr>
          <w:p w:rsidR="009D285C" w:rsidRPr="00894E8F" w:rsidRDefault="009161DE">
            <w:r w:rsidRPr="00894E8F">
              <w:t>B2 No labelling if sustainable</w:t>
            </w:r>
          </w:p>
        </w:tc>
        <w:tc>
          <w:tcPr>
            <w:tcW w:w="3005" w:type="dxa"/>
            <w:shd w:val="clear" w:color="auto" w:fill="auto"/>
          </w:tcPr>
          <w:p w:rsidR="009D285C" w:rsidRPr="00894E8F" w:rsidRDefault="009161DE">
            <w:r w:rsidRPr="00894E8F">
              <w:t>No specific labelling, only inclusion in public registry if NGT product contributes to sustainability</w:t>
            </w:r>
          </w:p>
        </w:tc>
        <w:tc>
          <w:tcPr>
            <w:tcW w:w="3005" w:type="dxa"/>
            <w:shd w:val="clear" w:color="auto" w:fill="auto"/>
          </w:tcPr>
          <w:p w:rsidR="009D285C" w:rsidRPr="00894E8F" w:rsidRDefault="009161DE">
            <w:r w:rsidRPr="00894E8F">
              <w:t xml:space="preserve">As today </w:t>
            </w:r>
          </w:p>
        </w:tc>
      </w:tr>
      <w:tr w:rsidR="009161DE" w:rsidRPr="00894E8F" w:rsidTr="00A41B56">
        <w:tc>
          <w:tcPr>
            <w:tcW w:w="3005" w:type="dxa"/>
            <w:shd w:val="clear" w:color="auto" w:fill="auto"/>
          </w:tcPr>
          <w:p w:rsidR="009161DE" w:rsidRPr="00894E8F" w:rsidRDefault="009161DE" w:rsidP="009161DE">
            <w:r w:rsidRPr="00894E8F">
              <w:t>B3 No labelling or traceability for products that could also be obtained naturally or by conventional breeding</w:t>
            </w:r>
          </w:p>
        </w:tc>
        <w:tc>
          <w:tcPr>
            <w:tcW w:w="3005" w:type="dxa"/>
            <w:shd w:val="clear" w:color="auto" w:fill="auto"/>
          </w:tcPr>
          <w:p w:rsidR="009161DE" w:rsidRPr="00894E8F" w:rsidRDefault="009161DE" w:rsidP="009161DE">
            <w:r w:rsidRPr="00894E8F">
              <w:t>Not needed for products that could also be obtained naturally or by conventional breeding</w:t>
            </w:r>
          </w:p>
        </w:tc>
        <w:tc>
          <w:tcPr>
            <w:tcW w:w="3005" w:type="dxa"/>
            <w:shd w:val="clear" w:color="auto" w:fill="auto"/>
          </w:tcPr>
          <w:p w:rsidR="009161DE" w:rsidRPr="00894E8F" w:rsidRDefault="009161DE" w:rsidP="009161DE">
            <w:pPr>
              <w:rPr>
                <w:b/>
              </w:rPr>
            </w:pPr>
            <w:r w:rsidRPr="00894E8F">
              <w:t>Not needed for products that could also be obtained naturally or by conventional breeding</w:t>
            </w:r>
          </w:p>
        </w:tc>
      </w:tr>
    </w:tbl>
    <w:p w:rsidR="009D285C" w:rsidRPr="00894E8F" w:rsidRDefault="009D285C"/>
    <w:p w:rsidR="009161DE" w:rsidRPr="00894E8F" w:rsidRDefault="009161DE">
      <w:pPr>
        <w:rPr>
          <w:b/>
        </w:rPr>
      </w:pPr>
      <w:r w:rsidRPr="00894E8F">
        <w:rPr>
          <w:b/>
        </w:rPr>
        <w:t xml:space="preserve">Authorisation </w:t>
      </w:r>
      <w:r w:rsidR="00A3757A" w:rsidRPr="00894E8F">
        <w:t>- page 31-32 of the pdf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61DE" w:rsidRPr="00894E8F" w:rsidTr="009161DE">
        <w:tc>
          <w:tcPr>
            <w:tcW w:w="4508" w:type="dxa"/>
          </w:tcPr>
          <w:p w:rsidR="009161DE" w:rsidRPr="00894E8F" w:rsidRDefault="009161DE">
            <w:pPr>
              <w:rPr>
                <w:b/>
              </w:rPr>
            </w:pPr>
            <w:r w:rsidRPr="00894E8F">
              <w:rPr>
                <w:b/>
              </w:rPr>
              <w:t>Scenario</w:t>
            </w:r>
          </w:p>
        </w:tc>
        <w:tc>
          <w:tcPr>
            <w:tcW w:w="4508" w:type="dxa"/>
          </w:tcPr>
          <w:p w:rsidR="009161DE" w:rsidRPr="00894E8F" w:rsidRDefault="009161DE">
            <w:pPr>
              <w:rPr>
                <w:b/>
              </w:rPr>
            </w:pPr>
            <w:r w:rsidRPr="00894E8F">
              <w:rPr>
                <w:b/>
              </w:rPr>
              <w:t>Authorisation</w:t>
            </w:r>
          </w:p>
        </w:tc>
      </w:tr>
      <w:tr w:rsidR="009161DE" w:rsidRPr="00894E8F" w:rsidTr="009161DE">
        <w:tc>
          <w:tcPr>
            <w:tcW w:w="4508" w:type="dxa"/>
          </w:tcPr>
          <w:p w:rsidR="009161DE" w:rsidRPr="00894E8F" w:rsidRDefault="009161DE" w:rsidP="009161DE">
            <w:pPr>
              <w:rPr>
                <w:lang w:val="it-IT"/>
              </w:rPr>
            </w:pPr>
            <w:r w:rsidRPr="00894E8F">
              <w:rPr>
                <w:lang w:val="it-IT"/>
              </w:rPr>
              <w:t xml:space="preserve">0 No policy </w:t>
            </w:r>
            <w:proofErr w:type="spellStart"/>
            <w:r w:rsidRPr="00894E8F">
              <w:rPr>
                <w:lang w:val="it-IT"/>
              </w:rPr>
              <w:t>change</w:t>
            </w:r>
            <w:proofErr w:type="spellEnd"/>
            <w:r w:rsidRPr="00894E8F">
              <w:rPr>
                <w:lang w:val="it-IT"/>
              </w:rPr>
              <w:t xml:space="preserve"> </w:t>
            </w:r>
          </w:p>
          <w:p w:rsidR="009161DE" w:rsidRPr="00894E8F" w:rsidRDefault="009161DE"/>
        </w:tc>
        <w:tc>
          <w:tcPr>
            <w:tcW w:w="4508" w:type="dxa"/>
          </w:tcPr>
          <w:p w:rsidR="009161DE" w:rsidRPr="00894E8F" w:rsidRDefault="009161DE" w:rsidP="009161DE">
            <w:r w:rsidRPr="00894E8F">
              <w:t>As today, no sustainability incentive or requirement for authorisation</w:t>
            </w:r>
          </w:p>
        </w:tc>
      </w:tr>
      <w:tr w:rsidR="009161DE" w:rsidRPr="00894E8F" w:rsidTr="009161DE">
        <w:tc>
          <w:tcPr>
            <w:tcW w:w="4508" w:type="dxa"/>
          </w:tcPr>
          <w:p w:rsidR="009161DE" w:rsidRPr="00894E8F" w:rsidRDefault="009161DE">
            <w:r w:rsidRPr="00894E8F">
              <w:t>C1 Sustainability incentives for authorisation</w:t>
            </w:r>
          </w:p>
          <w:p w:rsidR="009161DE" w:rsidRPr="00894E8F" w:rsidRDefault="009161DE">
            <w:r w:rsidRPr="00894E8F">
              <w:t xml:space="preserve"> </w:t>
            </w:r>
          </w:p>
        </w:tc>
        <w:tc>
          <w:tcPr>
            <w:tcW w:w="4508" w:type="dxa"/>
          </w:tcPr>
          <w:p w:rsidR="009161DE" w:rsidRPr="00894E8F" w:rsidRDefault="009161DE" w:rsidP="009161DE">
            <w:r w:rsidRPr="00894E8F">
              <w:t>Positive incentives for authorisations (e.g. approval advice, waiving of fees, faster approval, sustainability label on the product</w:t>
            </w:r>
            <w:proofErr w:type="gramStart"/>
            <w:r w:rsidRPr="00894E8F">
              <w:t xml:space="preserve">)  </w:t>
            </w:r>
            <w:proofErr w:type="gramEnd"/>
          </w:p>
        </w:tc>
      </w:tr>
      <w:tr w:rsidR="009161DE" w:rsidRPr="00894E8F" w:rsidTr="009161DE">
        <w:tc>
          <w:tcPr>
            <w:tcW w:w="4508" w:type="dxa"/>
          </w:tcPr>
          <w:p w:rsidR="009161DE" w:rsidRPr="00894E8F" w:rsidRDefault="009161DE">
            <w:r w:rsidRPr="00894E8F">
              <w:t>C2 Sustainability requirement: no authorisation if detrimental to sustainability</w:t>
            </w:r>
          </w:p>
          <w:p w:rsidR="009161DE" w:rsidRPr="00894E8F" w:rsidRDefault="009161DE"/>
        </w:tc>
        <w:tc>
          <w:tcPr>
            <w:tcW w:w="4508" w:type="dxa"/>
          </w:tcPr>
          <w:p w:rsidR="009161DE" w:rsidRPr="00894E8F" w:rsidRDefault="009161DE">
            <w:r w:rsidRPr="00894E8F">
              <w:t>No authorisation</w:t>
            </w:r>
          </w:p>
        </w:tc>
      </w:tr>
    </w:tbl>
    <w:p w:rsidR="009161DE" w:rsidRPr="00894E8F" w:rsidRDefault="009161DE">
      <w:pPr>
        <w:rPr>
          <w:b/>
        </w:rPr>
      </w:pPr>
    </w:p>
    <w:p w:rsidR="00A3757A" w:rsidRPr="00894E8F" w:rsidRDefault="00A3757A">
      <w:r w:rsidRPr="00894E8F">
        <w:t>An overview of all scenarios is given on pages 41, 47, 48-49, 49-50 and 50-51 of the pdf.</w:t>
      </w:r>
    </w:p>
    <w:p w:rsidR="00A3757A" w:rsidRPr="00894E8F" w:rsidRDefault="00A3757A" w:rsidP="00A3757A">
      <w:pPr>
        <w:pStyle w:val="Heading1"/>
        <w:rPr>
          <w:color w:val="auto"/>
        </w:rPr>
      </w:pPr>
      <w:r w:rsidRPr="00894E8F">
        <w:rPr>
          <w:color w:val="auto"/>
        </w:rPr>
        <w:lastRenderedPageBreak/>
        <w:t>(2) Criteria for ‘nature-identical’ and ‘sustainable’ GM plants</w:t>
      </w:r>
    </w:p>
    <w:p w:rsidR="00A3757A" w:rsidRPr="00894E8F" w:rsidRDefault="00A3757A" w:rsidP="00A3757A">
      <w:pPr>
        <w:rPr>
          <w:rFonts w:ascii="Calibri" w:hAnsi="Calibri" w:cs="Calibri"/>
          <w:b/>
          <w:bCs/>
          <w:sz w:val="8"/>
          <w:szCs w:val="8"/>
        </w:rPr>
      </w:pPr>
    </w:p>
    <w:p w:rsidR="00A3757A" w:rsidRPr="00894E8F" w:rsidRDefault="00A3757A" w:rsidP="00A3757A">
      <w:pPr>
        <w:rPr>
          <w:rFonts w:ascii="Calibri" w:hAnsi="Calibri" w:cs="Calibri"/>
          <w:b/>
          <w:bCs/>
        </w:rPr>
      </w:pPr>
      <w:r w:rsidRPr="00894E8F">
        <w:rPr>
          <w:rFonts w:ascii="Calibri" w:hAnsi="Calibri" w:cs="Calibri"/>
          <w:b/>
          <w:bCs/>
        </w:rPr>
        <w:t xml:space="preserve">Nature-identical GMOs </w:t>
      </w:r>
      <w:r w:rsidRPr="00894E8F">
        <w:rPr>
          <w:rFonts w:ascii="Calibri" w:hAnsi="Calibri" w:cs="Calibri"/>
          <w:bCs/>
        </w:rPr>
        <w:t>- page 9 of the pdf</w:t>
      </w:r>
      <w:r w:rsidRPr="00894E8F">
        <w:rPr>
          <w:rFonts w:ascii="Calibri" w:hAnsi="Calibri" w:cs="Calibri"/>
          <w:b/>
          <w:bCs/>
        </w:rPr>
        <w:t xml:space="preserve"> </w:t>
      </w:r>
    </w:p>
    <w:p w:rsidR="00A3757A" w:rsidRPr="00894E8F" w:rsidRDefault="00A3757A" w:rsidP="00A3757A">
      <w:pPr>
        <w:rPr>
          <w:rFonts w:ascii="Calibri" w:hAnsi="Calibri" w:cs="Calibri"/>
        </w:rPr>
      </w:pPr>
      <w:r w:rsidRPr="00894E8F">
        <w:rPr>
          <w:rFonts w:ascii="Calibri" w:hAnsi="Calibri" w:cs="Calibri"/>
        </w:rPr>
        <w:t xml:space="preserve">A GMO is "obtainable naturally or by conventional breeding" if it meets all these criteria: 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  <w:rPr>
          <w:rFonts w:ascii="Calibri" w:hAnsi="Calibri" w:cs="Calibri"/>
        </w:rPr>
      </w:pPr>
      <w:r w:rsidRPr="00894E8F">
        <w:t>The modification (substitution, deletion, insertion) is shorter than a defined size (number of base pairs)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modification is present in other plants of the same species or of a crossable species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modification is not intended to change (increases or decreases) the expression of an existing gene beyond the natural variation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modification result from cellular repair of a targeted DNA break in the absence of an externally provided repair template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resulting genetic composition remains within that which is accessible through crossing sexually compatible species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trait introduced does not result in the synthesis of a substance that is not present in existing conventional food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food produced from the plant does not contain modified proteins significantly similar to known toxins or allergens</w:t>
      </w:r>
    </w:p>
    <w:p w:rsidR="00A3757A" w:rsidRPr="00894E8F" w:rsidRDefault="00A3757A" w:rsidP="00A3757A">
      <w:pPr>
        <w:pStyle w:val="ListParagraph"/>
        <w:numPr>
          <w:ilvl w:val="0"/>
          <w:numId w:val="3"/>
        </w:numPr>
        <w:spacing w:line="252" w:lineRule="auto"/>
      </w:pPr>
      <w:r w:rsidRPr="00894E8F">
        <w:t>The endogenous allergen content of the food has not been modified.</w:t>
      </w:r>
    </w:p>
    <w:p w:rsidR="00A3757A" w:rsidRPr="00894E8F" w:rsidRDefault="00A3757A" w:rsidP="00A3757A">
      <w:pPr>
        <w:rPr>
          <w:rFonts w:ascii="Calibri" w:hAnsi="Calibri" w:cs="Calibri"/>
          <w:bCs/>
        </w:rPr>
      </w:pPr>
      <w:r w:rsidRPr="00894E8F">
        <w:rPr>
          <w:rFonts w:ascii="Calibri" w:hAnsi="Calibri" w:cs="Calibri"/>
          <w:b/>
          <w:bCs/>
        </w:rPr>
        <w:t xml:space="preserve">Sustainable GMOs </w:t>
      </w:r>
      <w:r w:rsidRPr="00894E8F">
        <w:rPr>
          <w:rFonts w:ascii="Calibri" w:hAnsi="Calibri" w:cs="Calibri"/>
          <w:bCs/>
        </w:rPr>
        <w:t>- page 32 of the pdf</w:t>
      </w:r>
    </w:p>
    <w:p w:rsidR="00A3757A" w:rsidRPr="00894E8F" w:rsidRDefault="00A3757A" w:rsidP="00A3757A">
      <w:pPr>
        <w:rPr>
          <w:rFonts w:ascii="Calibri" w:hAnsi="Calibri" w:cs="Calibri"/>
        </w:rPr>
      </w:pPr>
      <w:r w:rsidRPr="00894E8F">
        <w:rPr>
          <w:rFonts w:ascii="Calibri" w:hAnsi="Calibri" w:cs="Calibri"/>
        </w:rPr>
        <w:t>A GMO is "sustainable" if it has one of these "desirable sustainability impacts":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  <w:rPr>
          <w:rFonts w:ascii="Calibri" w:hAnsi="Calibri" w:cs="Calibri"/>
        </w:rPr>
      </w:pPr>
      <w:r w:rsidRPr="00894E8F">
        <w:t>Reduction in use of plant protection products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Reduction in use of fertilisers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Reduction in use of natural resources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Tolerance/resistance to environmental conditions (abiotic stresses), including climate change effects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Tolerance/resistance to plant diseases (biotic stresses), e.g. due to nematodes, fungi, bacteria, viruses or pests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Better composition or healthier nutrient profile, e.g. on fats, proteins, vitamins, fibres, sugar content, lower content of toxic substances or allergens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Better agronomical characteristics, e.g., increased or more stable yields, more or larger seeds or fruits, improved flowering time, improved breeding characteristics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Reduced food waste through better harvest, post-harvest, transport or storage performance</w:t>
      </w:r>
    </w:p>
    <w:p w:rsidR="00A3757A" w:rsidRPr="00894E8F" w:rsidRDefault="00A3757A" w:rsidP="00A3757A">
      <w:pPr>
        <w:pStyle w:val="ListParagraph"/>
        <w:numPr>
          <w:ilvl w:val="0"/>
          <w:numId w:val="4"/>
        </w:numPr>
        <w:spacing w:line="252" w:lineRule="auto"/>
      </w:pPr>
      <w:r w:rsidRPr="00894E8F">
        <w:t>(Re</w:t>
      </w:r>
      <w:proofErr w:type="gramStart"/>
      <w:r w:rsidRPr="00894E8F">
        <w:t>-)</w:t>
      </w:r>
      <w:proofErr w:type="gramEnd"/>
      <w:r w:rsidRPr="00894E8F">
        <w:t xml:space="preserve">Introduction of niche/orphan plants that are important from a local ecological or </w:t>
      </w:r>
      <w:proofErr w:type="spellStart"/>
      <w:r w:rsidRPr="00894E8F">
        <w:t>agri</w:t>
      </w:r>
      <w:proofErr w:type="spellEnd"/>
      <w:r w:rsidRPr="00894E8F">
        <w:t>-food perspective</w:t>
      </w:r>
    </w:p>
    <w:sectPr w:rsidR="00A3757A" w:rsidRPr="0089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597"/>
    <w:multiLevelType w:val="hybridMultilevel"/>
    <w:tmpl w:val="48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39F9"/>
    <w:multiLevelType w:val="hybridMultilevel"/>
    <w:tmpl w:val="64CE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C7821"/>
    <w:multiLevelType w:val="hybridMultilevel"/>
    <w:tmpl w:val="C4F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127CA"/>
    <w:multiLevelType w:val="hybridMultilevel"/>
    <w:tmpl w:val="72E6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C"/>
    <w:rsid w:val="00150F1D"/>
    <w:rsid w:val="00580C9B"/>
    <w:rsid w:val="005C43C0"/>
    <w:rsid w:val="00863596"/>
    <w:rsid w:val="00894E8F"/>
    <w:rsid w:val="009161DE"/>
    <w:rsid w:val="009D285C"/>
    <w:rsid w:val="00A3757A"/>
    <w:rsid w:val="00A41B56"/>
    <w:rsid w:val="00A510D4"/>
    <w:rsid w:val="00C164E3"/>
    <w:rsid w:val="00C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E2C6F"/>
  </w:style>
  <w:style w:type="character" w:customStyle="1" w:styleId="Heading1Char">
    <w:name w:val="Heading 1 Char"/>
    <w:basedOn w:val="DefaultParagraphFont"/>
    <w:link w:val="Heading1"/>
    <w:uiPriority w:val="9"/>
    <w:rsid w:val="00A37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E2C6F"/>
  </w:style>
  <w:style w:type="character" w:customStyle="1" w:styleId="Heading1Char">
    <w:name w:val="Heading 1 Char"/>
    <w:basedOn w:val="DefaultParagraphFont"/>
    <w:link w:val="Heading1"/>
    <w:uiPriority w:val="9"/>
    <w:rsid w:val="00A37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ACHTERBERG Franziska</dc:creator>
  <cp:keywords/>
  <dc:description/>
  <cp:lastModifiedBy>Claire Robinson</cp:lastModifiedBy>
  <cp:revision>2</cp:revision>
  <cp:lastPrinted>2022-06-30T13:29:00Z</cp:lastPrinted>
  <dcterms:created xsi:type="dcterms:W3CDTF">2022-07-21T05:26:00Z</dcterms:created>
  <dcterms:modified xsi:type="dcterms:W3CDTF">2022-07-21T05:26:00Z</dcterms:modified>
</cp:coreProperties>
</file>